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C4" w:rsidRPr="005B28C4" w:rsidRDefault="005B28C4" w:rsidP="005B28C4">
      <w:pPr>
        <w:shd w:val="clear" w:color="auto" w:fill="FFFFFF"/>
        <w:spacing w:before="450" w:after="225" w:line="240" w:lineRule="auto"/>
        <w:outlineLvl w:val="0"/>
        <w:rPr>
          <w:rFonts w:ascii="Arial" w:eastAsia="Times New Roman" w:hAnsi="Arial" w:cs="Arial"/>
          <w:color w:val="007167"/>
          <w:kern w:val="36"/>
          <w:sz w:val="56"/>
          <w:szCs w:val="72"/>
          <w:lang w:val="en-US" w:eastAsia="de-DE"/>
        </w:rPr>
      </w:pPr>
      <w:r w:rsidRPr="005B28C4">
        <w:rPr>
          <w:rFonts w:ascii="Arial" w:eastAsia="Times New Roman" w:hAnsi="Arial" w:cs="Arial"/>
          <w:color w:val="007167"/>
          <w:kern w:val="36"/>
          <w:sz w:val="56"/>
          <w:szCs w:val="72"/>
          <w:lang w:val="en-US" w:eastAsia="de-DE"/>
        </w:rPr>
        <w:t>Precise and Reliable DSC Results for Pharmaceuticals, Foods and Cosmetics</w:t>
      </w:r>
    </w:p>
    <w:p w:rsidR="005B28C4" w:rsidRPr="005B28C4" w:rsidRDefault="005B28C4" w:rsidP="005B28C4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color w:val="007167"/>
          <w:sz w:val="48"/>
          <w:szCs w:val="51"/>
          <w:lang w:val="en-US" w:eastAsia="de-DE"/>
        </w:rPr>
      </w:pPr>
      <w:r w:rsidRPr="005B28C4">
        <w:rPr>
          <w:rFonts w:ascii="Arial" w:eastAsia="Times New Roman" w:hAnsi="Arial" w:cs="Arial"/>
          <w:color w:val="007167"/>
          <w:sz w:val="48"/>
          <w:szCs w:val="51"/>
          <w:lang w:val="en-US" w:eastAsia="de-DE"/>
        </w:rPr>
        <w:t>…by means of the DSC 204 </w:t>
      </w:r>
      <w:r w:rsidRPr="005B28C4">
        <w:rPr>
          <w:rFonts w:ascii="Arial" w:eastAsia="Times New Roman" w:hAnsi="Arial" w:cs="Arial"/>
          <w:b/>
          <w:bCs/>
          <w:i/>
          <w:iCs/>
          <w:color w:val="007167"/>
          <w:sz w:val="48"/>
          <w:szCs w:val="51"/>
          <w:lang w:val="en-US" w:eastAsia="de-DE"/>
        </w:rPr>
        <w:t>F1</w:t>
      </w:r>
      <w:r w:rsidRPr="005B28C4">
        <w:rPr>
          <w:rFonts w:ascii="Arial" w:eastAsia="Times New Roman" w:hAnsi="Arial" w:cs="Arial"/>
          <w:i/>
          <w:iCs/>
          <w:color w:val="007167"/>
          <w:sz w:val="48"/>
          <w:szCs w:val="51"/>
          <w:lang w:val="en-US" w:eastAsia="de-DE"/>
        </w:rPr>
        <w:t> </w:t>
      </w:r>
      <w:proofErr w:type="spellStart"/>
      <w:r w:rsidRPr="005B28C4">
        <w:rPr>
          <w:rFonts w:ascii="Arial" w:eastAsia="Times New Roman" w:hAnsi="Arial" w:cs="Arial"/>
          <w:i/>
          <w:iCs/>
          <w:color w:val="007167"/>
          <w:sz w:val="48"/>
          <w:szCs w:val="51"/>
          <w:lang w:val="en-US" w:eastAsia="de-DE"/>
        </w:rPr>
        <w:t>Nevio</w:t>
      </w:r>
      <w:proofErr w:type="spellEnd"/>
      <w:r w:rsidRPr="005B28C4">
        <w:rPr>
          <w:rFonts w:ascii="Arial" w:eastAsia="Times New Roman" w:hAnsi="Arial" w:cs="Arial"/>
          <w:color w:val="007167"/>
          <w:sz w:val="48"/>
          <w:szCs w:val="51"/>
          <w:lang w:val="en-US" w:eastAsia="de-DE"/>
        </w:rPr>
        <w:t>, the premium differential sc</w:t>
      </w:r>
      <w:bookmarkStart w:id="0" w:name="_GoBack"/>
      <w:bookmarkEnd w:id="0"/>
      <w:r w:rsidRPr="005B28C4">
        <w:rPr>
          <w:rFonts w:ascii="Arial" w:eastAsia="Times New Roman" w:hAnsi="Arial" w:cs="Arial"/>
          <w:color w:val="007167"/>
          <w:sz w:val="48"/>
          <w:szCs w:val="51"/>
          <w:lang w:val="en-US" w:eastAsia="de-DE"/>
        </w:rPr>
        <w:t>anning calorimeter for research and development, material characterization and contract testing.</w:t>
      </w:r>
    </w:p>
    <w:p w:rsidR="005B28C4" w:rsidRPr="005B28C4" w:rsidRDefault="005B28C4" w:rsidP="005B28C4">
      <w:pPr>
        <w:pStyle w:val="berschrift4"/>
        <w:spacing w:before="225" w:after="225"/>
        <w:rPr>
          <w:rFonts w:ascii="Arial" w:hAnsi="Arial" w:cs="Arial"/>
          <w:color w:val="373737"/>
          <w:sz w:val="28"/>
          <w:szCs w:val="30"/>
          <w:lang w:val="en-US"/>
        </w:rPr>
      </w:pPr>
      <w:r w:rsidRPr="005B28C4">
        <w:rPr>
          <w:rFonts w:ascii="Arial" w:hAnsi="Arial" w:cs="Arial"/>
          <w:b/>
          <w:bCs/>
          <w:color w:val="373737"/>
          <w:sz w:val="28"/>
          <w:szCs w:val="30"/>
          <w:lang w:val="en-US"/>
        </w:rPr>
        <w:t>The instrument serves for the investigation of:</w:t>
      </w:r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  <w:lang w:val="en-US"/>
        </w:rPr>
      </w:pPr>
      <w:r w:rsidRPr="005B28C4">
        <w:rPr>
          <w:rFonts w:ascii="Arial" w:hAnsi="Arial" w:cs="Arial"/>
          <w:color w:val="3F3F3F"/>
          <w:sz w:val="24"/>
          <w:szCs w:val="27"/>
          <w:lang w:val="en-US"/>
        </w:rPr>
        <w:t>Melting temperatures and enthalpies of fusion</w:t>
      </w:r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  <w:lang w:val="en-US"/>
        </w:rPr>
      </w:pPr>
      <w:r w:rsidRPr="005B28C4">
        <w:rPr>
          <w:rFonts w:ascii="Arial" w:hAnsi="Arial" w:cs="Arial"/>
          <w:color w:val="3F3F3F"/>
          <w:sz w:val="24"/>
          <w:szCs w:val="27"/>
          <w:lang w:val="en-US"/>
        </w:rPr>
        <w:t>Polymorphism (ability of a solid substance to exist in multiple forms or crystal structures)</w:t>
      </w:r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Crystallization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temperatures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and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enthalpies</w:t>
      </w:r>
      <w:proofErr w:type="spellEnd"/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  <w:lang w:val="en-US"/>
        </w:rPr>
      </w:pPr>
      <w:r w:rsidRPr="005B28C4">
        <w:rPr>
          <w:rFonts w:ascii="Arial" w:hAnsi="Arial" w:cs="Arial"/>
          <w:color w:val="3F3F3F"/>
          <w:sz w:val="24"/>
          <w:szCs w:val="27"/>
          <w:lang w:val="en-US"/>
        </w:rPr>
        <w:t>Glass transitions (characteristic for amorphous areas or amorphous substances)</w:t>
      </w:r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  <w:lang w:val="en-US"/>
        </w:rPr>
      </w:pPr>
      <w:r w:rsidRPr="005B28C4">
        <w:rPr>
          <w:rFonts w:ascii="Arial" w:hAnsi="Arial" w:cs="Arial"/>
          <w:color w:val="3F3F3F"/>
          <w:sz w:val="24"/>
          <w:szCs w:val="27"/>
          <w:lang w:val="en-US"/>
        </w:rPr>
        <w:t>Solid-solid interactions (e.g., between ingredients in a physical mixture)</w:t>
      </w:r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r w:rsidRPr="005B28C4">
        <w:rPr>
          <w:rFonts w:ascii="Arial" w:hAnsi="Arial" w:cs="Arial"/>
          <w:color w:val="3F3F3F"/>
          <w:sz w:val="24"/>
          <w:szCs w:val="27"/>
        </w:rPr>
        <w:t xml:space="preserve">Phase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diagrams</w:t>
      </w:r>
      <w:proofErr w:type="spellEnd"/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Eutectic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purity</w:t>
      </w:r>
      <w:proofErr w:type="spellEnd"/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r w:rsidRPr="005B28C4">
        <w:rPr>
          <w:rFonts w:ascii="Arial" w:hAnsi="Arial" w:cs="Arial"/>
          <w:color w:val="3F3F3F"/>
          <w:sz w:val="24"/>
          <w:szCs w:val="27"/>
        </w:rPr>
        <w:t>Solid-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fat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content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(SFC)</w:t>
      </w:r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Reaction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temperatures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and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enthalpies</w:t>
      </w:r>
      <w:proofErr w:type="spellEnd"/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Specific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heat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capacity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(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c</w:t>
      </w:r>
      <w:r w:rsidRPr="005B28C4">
        <w:rPr>
          <w:rFonts w:ascii="Arial" w:hAnsi="Arial" w:cs="Arial"/>
          <w:color w:val="3F3F3F"/>
          <w:sz w:val="18"/>
          <w:szCs w:val="20"/>
          <w:vertAlign w:val="subscript"/>
        </w:rPr>
        <w:t>p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>)</w:t>
      </w:r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</w:rPr>
      </w:pPr>
      <w:r w:rsidRPr="005B28C4">
        <w:rPr>
          <w:rFonts w:ascii="Arial" w:hAnsi="Arial" w:cs="Arial"/>
          <w:color w:val="3F3F3F"/>
          <w:sz w:val="24"/>
          <w:szCs w:val="27"/>
        </w:rPr>
        <w:t>Cross-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linking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reactions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 xml:space="preserve"> (</w:t>
      </w:r>
      <w:proofErr w:type="spellStart"/>
      <w:r w:rsidRPr="005B28C4">
        <w:rPr>
          <w:rFonts w:ascii="Arial" w:hAnsi="Arial" w:cs="Arial"/>
          <w:color w:val="3F3F3F"/>
          <w:sz w:val="24"/>
          <w:szCs w:val="27"/>
        </w:rPr>
        <w:t>curing</w:t>
      </w:r>
      <w:proofErr w:type="spellEnd"/>
      <w:r w:rsidRPr="005B28C4">
        <w:rPr>
          <w:rFonts w:ascii="Arial" w:hAnsi="Arial" w:cs="Arial"/>
          <w:color w:val="3F3F3F"/>
          <w:sz w:val="24"/>
          <w:szCs w:val="27"/>
        </w:rPr>
        <w:t>)</w:t>
      </w:r>
    </w:p>
    <w:p w:rsidR="005B28C4" w:rsidRPr="005B28C4" w:rsidRDefault="005B28C4" w:rsidP="005B28C4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3F3F3F"/>
          <w:sz w:val="24"/>
          <w:szCs w:val="27"/>
          <w:lang w:val="en-US"/>
        </w:rPr>
      </w:pPr>
      <w:r w:rsidRPr="005B28C4">
        <w:rPr>
          <w:rFonts w:ascii="Arial" w:hAnsi="Arial" w:cs="Arial"/>
          <w:color w:val="3F3F3F"/>
          <w:sz w:val="24"/>
          <w:szCs w:val="27"/>
          <w:lang w:val="en-US"/>
        </w:rPr>
        <w:t>Oxidation-induction time and temperature  (OIT (isothermal), OIT (dynamic), OOT)</w:t>
      </w:r>
    </w:p>
    <w:p w:rsidR="005F35FE" w:rsidRPr="005B28C4" w:rsidRDefault="005F35FE" w:rsidP="005B28C4">
      <w:pPr>
        <w:pStyle w:val="KeinLeerraum"/>
        <w:rPr>
          <w:sz w:val="20"/>
          <w:lang w:val="en-US"/>
        </w:rPr>
      </w:pPr>
    </w:p>
    <w:sectPr w:rsidR="005F35FE" w:rsidRPr="005B28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5B28C4"/>
    <w:rsid w:val="005F35FE"/>
    <w:rsid w:val="00D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2021-01-13T12:14:00Z</dcterms:created>
  <dcterms:modified xsi:type="dcterms:W3CDTF">2021-01-13T12:15:00Z</dcterms:modified>
</cp:coreProperties>
</file>