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92" w:rsidRPr="00315192" w:rsidRDefault="00315192" w:rsidP="00315192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315192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FT-IR</w:t>
      </w:r>
    </w:p>
    <w:bookmarkEnd w:id="0"/>
    <w:p w:rsidR="00315192" w:rsidRPr="00315192" w:rsidRDefault="00315192" w:rsidP="00315192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15192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Coupling to a Fourier Transform Infrared Spectrometer</w:t>
      </w:r>
    </w:p>
    <w:p w:rsidR="00315192" w:rsidRPr="00315192" w:rsidRDefault="00315192" w:rsidP="00315192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315192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More than just the sum of its parts</w:t>
      </w:r>
    </w:p>
    <w:p w:rsidR="00315192" w:rsidRDefault="00315192" w:rsidP="00315192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</w:rPr>
      </w:pPr>
      <w:r w:rsidRPr="00315192">
        <w:rPr>
          <w:rFonts w:ascii="Arial" w:hAnsi="Arial" w:cs="Arial"/>
          <w:color w:val="3F3F3F"/>
          <w:sz w:val="27"/>
          <w:szCs w:val="27"/>
          <w:lang w:val="en-US"/>
        </w:rPr>
        <w:t>Especially in the polymer field as well as in the pharmaceutical and chemical industries, it can be very useful to have knowledge about the gases that evolve during a process, curing/cross-linking, decomposition or any other reaction.</w:t>
      </w:r>
      <w:r w:rsidRPr="00315192">
        <w:rPr>
          <w:rFonts w:ascii="Arial" w:hAnsi="Arial" w:cs="Arial"/>
          <w:color w:val="3F3F3F"/>
          <w:sz w:val="27"/>
          <w:szCs w:val="27"/>
          <w:lang w:val="en-US"/>
        </w:rPr>
        <w:br/>
      </w:r>
      <w:proofErr w:type="gramStart"/>
      <w:r w:rsidRPr="00315192">
        <w:rPr>
          <w:rFonts w:ascii="Arial" w:hAnsi="Arial" w:cs="Arial"/>
          <w:color w:val="3F3F3F"/>
          <w:sz w:val="27"/>
          <w:szCs w:val="27"/>
          <w:lang w:val="en-US"/>
        </w:rPr>
        <w:t>With the vacuum-tight thermal balances and simultaneous thermal analysis instruments </w:t>
      </w:r>
      <w:hyperlink r:id="rId5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TG 209 </w:t>
        </w:r>
        <w:r w:rsidRPr="00315192">
          <w:rPr>
            <w:rStyle w:val="Fett"/>
            <w:rFonts w:ascii="Arial" w:eastAsiaTheme="majorEastAsia" w:hAnsi="Arial" w:cs="Arial"/>
            <w:i/>
            <w:iCs/>
            <w:color w:val="E77919"/>
            <w:sz w:val="27"/>
            <w:szCs w:val="27"/>
            <w:lang w:val="en-US"/>
          </w:rPr>
          <w:t>F1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Libra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, </w:t>
      </w:r>
      <w:hyperlink r:id="rId6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TG/STA 449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</w:t>
        </w:r>
        <w:r w:rsidRPr="00315192">
          <w:rPr>
            <w:rStyle w:val="Fett"/>
            <w:rFonts w:ascii="Arial" w:eastAsiaTheme="majorEastAsia" w:hAnsi="Arial" w:cs="Arial"/>
            <w:i/>
            <w:iCs/>
            <w:color w:val="E77919"/>
            <w:sz w:val="27"/>
            <w:szCs w:val="27"/>
            <w:lang w:val="en-US"/>
          </w:rPr>
          <w:t>F3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Jupiter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 and </w:t>
      </w:r>
      <w:hyperlink r:id="rId7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TG/STA 449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</w:t>
        </w:r>
        <w:r w:rsidRPr="00315192">
          <w:rPr>
            <w:rStyle w:val="Fett"/>
            <w:rFonts w:ascii="Arial" w:eastAsiaTheme="majorEastAsia" w:hAnsi="Arial" w:cs="Arial"/>
            <w:i/>
            <w:iCs/>
            <w:color w:val="E77919"/>
            <w:sz w:val="27"/>
            <w:szCs w:val="27"/>
            <w:lang w:val="en-US"/>
          </w:rPr>
          <w:t>F1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Jupiter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, </w:t>
      </w:r>
      <w:hyperlink r:id="rId8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TG/STA 449 </w:t>
        </w:r>
        <w:r w:rsidRPr="00315192">
          <w:rPr>
            <w:rStyle w:val="Fett"/>
            <w:rFonts w:ascii="Arial" w:eastAsiaTheme="majorEastAsia" w:hAnsi="Arial" w:cs="Arial"/>
            <w:i/>
            <w:iCs/>
            <w:color w:val="E77919"/>
            <w:sz w:val="27"/>
            <w:szCs w:val="27"/>
            <w:lang w:val="en-US"/>
          </w:rPr>
          <w:t>F5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Jupiter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, </w:t>
      </w:r>
      <w:hyperlink r:id="rId9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STA 2500 </w:t>
        </w:r>
        <w:proofErr w:type="spellStart"/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Regulus</w:t>
        </w:r>
        <w:proofErr w:type="spellEnd"/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, </w:t>
      </w:r>
      <w:hyperlink r:id="rId10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DIL 402 </w:t>
        </w:r>
        <w:proofErr w:type="spellStart"/>
        <w:r w:rsidRPr="00315192">
          <w:rPr>
            <w:rStyle w:val="Hyperlink"/>
            <w:rFonts w:ascii="Arial" w:hAnsi="Arial" w:cs="Arial"/>
            <w:b/>
            <w:bCs/>
            <w:i/>
            <w:iCs/>
            <w:color w:val="E77919"/>
            <w:sz w:val="27"/>
            <w:szCs w:val="27"/>
            <w:lang w:val="en-US"/>
          </w:rPr>
          <w:t>Expedis</w:t>
        </w:r>
        <w:proofErr w:type="spellEnd"/>
        <w:r w:rsidRPr="00315192">
          <w:rPr>
            <w:rStyle w:val="Hyperlink"/>
            <w:rFonts w:ascii="Arial" w:hAnsi="Arial" w:cs="Arial"/>
            <w:b/>
            <w:bCs/>
            <w:i/>
            <w:iCs/>
            <w:color w:val="E77919"/>
            <w:sz w:val="27"/>
            <w:szCs w:val="27"/>
            <w:lang w:val="en-US"/>
          </w:rPr>
          <w:t xml:space="preserve"> Select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&amp; </w:t>
        </w:r>
        <w:r w:rsidRPr="00315192">
          <w:rPr>
            <w:rStyle w:val="Hyperlink"/>
            <w:rFonts w:ascii="Arial" w:hAnsi="Arial" w:cs="Arial"/>
            <w:b/>
            <w:bCs/>
            <w:i/>
            <w:iCs/>
            <w:color w:val="E77919"/>
            <w:sz w:val="27"/>
            <w:szCs w:val="27"/>
            <w:lang w:val="en-US"/>
          </w:rPr>
          <w:t>Supreme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, and </w:t>
      </w:r>
      <w:hyperlink r:id="rId11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TMA 402 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F1/F3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Hyperion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, as well as with the dynamic differential calorimeters </w:t>
      </w:r>
      <w:hyperlink r:id="rId12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DSC 404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</w:t>
        </w:r>
        <w:r w:rsidRPr="00315192">
          <w:rPr>
            <w:rStyle w:val="Fett"/>
            <w:rFonts w:ascii="Arial" w:eastAsiaTheme="majorEastAsia" w:hAnsi="Arial" w:cs="Arial"/>
            <w:i/>
            <w:iCs/>
            <w:color w:val="E77919"/>
            <w:sz w:val="27"/>
            <w:szCs w:val="27"/>
            <w:lang w:val="en-US"/>
          </w:rPr>
          <w:t>F1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Pegasus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 and </w:t>
      </w:r>
      <w:hyperlink r:id="rId13" w:tgtFrame="_blank" w:history="1">
        <w:r w:rsidRPr="00315192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DSC 204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</w:t>
        </w:r>
        <w:r w:rsidRPr="00315192">
          <w:rPr>
            <w:rStyle w:val="Fett"/>
            <w:rFonts w:ascii="Arial" w:eastAsiaTheme="majorEastAsia" w:hAnsi="Arial" w:cs="Arial"/>
            <w:i/>
            <w:iCs/>
            <w:color w:val="E77919"/>
            <w:sz w:val="27"/>
            <w:szCs w:val="27"/>
            <w:lang w:val="en-US"/>
          </w:rPr>
          <w:t>F1</w:t>
        </w:r>
        <w:r w:rsidRPr="00315192">
          <w:rPr>
            <w:rStyle w:val="Hervorhebung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 Phoenix</w:t>
        </w:r>
        <w:r w:rsidRPr="00315192">
          <w:rPr>
            <w:rStyle w:val="Hyperlink"/>
            <w:rFonts w:ascii="Arial" w:hAnsi="Arial" w:cs="Arial"/>
            <w:b/>
            <w:bCs/>
            <w:color w:val="E77919"/>
            <w:sz w:val="20"/>
            <w:szCs w:val="20"/>
            <w:vertAlign w:val="superscript"/>
            <w:lang w:val="en-US"/>
          </w:rPr>
          <w:t>®</w:t>
        </w:r>
      </w:hyperlink>
      <w:r w:rsidRPr="00315192">
        <w:rPr>
          <w:rFonts w:ascii="Arial" w:hAnsi="Arial" w:cs="Arial"/>
          <w:color w:val="3F3F3F"/>
          <w:sz w:val="27"/>
          <w:szCs w:val="27"/>
          <w:lang w:val="en-US"/>
        </w:rPr>
        <w:t>, NETZSCH offers you efficient systems for coupling to a Fourier Transform Infrared Spectrometer (FT-IR).</w:t>
      </w:r>
      <w:proofErr w:type="gramEnd"/>
      <w:r w:rsidRPr="00315192">
        <w:rPr>
          <w:rFonts w:ascii="Arial" w:hAnsi="Arial" w:cs="Arial"/>
          <w:color w:val="3F3F3F"/>
          <w:sz w:val="27"/>
          <w:szCs w:val="27"/>
          <w:lang w:val="en-US"/>
        </w:rPr>
        <w:t xml:space="preserve"> The transfer line and the connection adaptors to the furnaces </w:t>
      </w:r>
      <w:proofErr w:type="gramStart"/>
      <w:r w:rsidRPr="00315192">
        <w:rPr>
          <w:rFonts w:ascii="Arial" w:hAnsi="Arial" w:cs="Arial"/>
          <w:color w:val="3F3F3F"/>
          <w:sz w:val="27"/>
          <w:szCs w:val="27"/>
          <w:lang w:val="en-US"/>
        </w:rPr>
        <w:t>can be heated</w:t>
      </w:r>
      <w:proofErr w:type="gramEnd"/>
      <w:r w:rsidRPr="00315192">
        <w:rPr>
          <w:rFonts w:ascii="Arial" w:hAnsi="Arial" w:cs="Arial"/>
          <w:color w:val="3F3F3F"/>
          <w:sz w:val="27"/>
          <w:szCs w:val="27"/>
          <w:lang w:val="en-US"/>
        </w:rPr>
        <w:t xml:space="preserve"> up to 230°C to prevent condensation of the decomposition products to the greatest extent possible.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spectra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interpretation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, extensive gas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phase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libraries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are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available</w:t>
      </w:r>
      <w:proofErr w:type="spellEnd"/>
      <w:r>
        <w:rPr>
          <w:rFonts w:ascii="Arial" w:hAnsi="Arial" w:cs="Arial"/>
          <w:color w:val="3F3F3F"/>
          <w:sz w:val="27"/>
          <w:szCs w:val="27"/>
        </w:rPr>
        <w:t>.</w:t>
      </w:r>
    </w:p>
    <w:p w:rsidR="005F35FE" w:rsidRPr="00315192" w:rsidRDefault="005F35FE" w:rsidP="00315192"/>
    <w:sectPr w:rsidR="005F35FE" w:rsidRPr="00315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19"/>
  </w:num>
  <w:num w:numId="6">
    <w:abstractNumId w:val="0"/>
  </w:num>
  <w:num w:numId="7">
    <w:abstractNumId w:val="11"/>
  </w:num>
  <w:num w:numId="8">
    <w:abstractNumId w:val="18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7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9676E3"/>
    <w:rsid w:val="00991760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85C61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zsch-thermal-analysis.com/en/products-solutions/simultaneous-thermogravimetry-differential-scanning-calorimetry/sta-449-f5-jupiter/" TargetMode="External"/><Relationship Id="rId13" Type="http://schemas.openxmlformats.org/officeDocument/2006/relationships/hyperlink" Target="https://www.netzsch-thermal-analysis.com/en/products-solutions/differential-scanning-calorimetry/dsc-204-f1-phoeni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tzsch-thermal-analysis.com/en/products-solutions/simultaneous-thermogravimetry-differential-scanning-calorimetry/sta-449-f1-jupiter/" TargetMode="External"/><Relationship Id="rId12" Type="http://schemas.openxmlformats.org/officeDocument/2006/relationships/hyperlink" Target="https://www.netzsch-thermal-analysis.com/en/products-solutions/differential-scanning-calorimetry/dsc-404-f1-pegas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zsch-thermal-analysis.com/en/products-solutions/simultaneous-thermogravimetry-differential-scanning-calorimetry/sta-449-f3-jupiter/" TargetMode="External"/><Relationship Id="rId11" Type="http://schemas.openxmlformats.org/officeDocument/2006/relationships/hyperlink" Target="https://www.netzsch-thermal-analysis.com/en/products-solutions/thermomechanical-analysis/tma-402-f1f3-hyperion/" TargetMode="External"/><Relationship Id="rId5" Type="http://schemas.openxmlformats.org/officeDocument/2006/relationships/hyperlink" Target="https://www.netzsch-thermal-analysis.com/en/products-solutions/thermogravimetric-analysis/tg-209-f1-libr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etzsch-thermal-analysis.com/en/products-solutions/dilatometer/dil-402-expedis-select-supre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zsch-thermal-analysis.com/en/products-solutions/simultaneous-thermogravimetry-differential-scanning-calorimetry/sta-2500-regul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2021-01-13T12:46:00Z</dcterms:created>
  <dcterms:modified xsi:type="dcterms:W3CDTF">2021-01-13T12:46:00Z</dcterms:modified>
</cp:coreProperties>
</file>