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61" w:rsidRPr="00E85C61" w:rsidRDefault="00E85C61" w:rsidP="00E85C61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E85C61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SBA 458 </w:t>
      </w:r>
      <w:r w:rsidRPr="00E85C61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Nemesis</w:t>
      </w:r>
      <w:bookmarkEnd w:id="0"/>
      <w:r w:rsidRPr="00E85C61">
        <w:rPr>
          <w:rFonts w:ascii="Arial" w:hAnsi="Arial" w:cs="Arial"/>
          <w:b w:val="0"/>
          <w:bCs w:val="0"/>
          <w:i/>
          <w:iCs/>
          <w:color w:val="007167"/>
          <w:sz w:val="47"/>
          <w:szCs w:val="47"/>
          <w:vertAlign w:val="superscript"/>
          <w:lang w:val="en-US"/>
        </w:rPr>
        <w:t>®</w:t>
      </w:r>
    </w:p>
    <w:p w:rsidR="00E85C61" w:rsidRPr="00E85C61" w:rsidRDefault="00E85C61" w:rsidP="00E85C61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E85C61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Simultaneous Determination of </w:t>
      </w:r>
      <w:proofErr w:type="spellStart"/>
      <w:r w:rsidRPr="00E85C61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Seebeck</w:t>
      </w:r>
      <w:proofErr w:type="spellEnd"/>
      <w:r w:rsidRPr="00E85C61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 Coefficient and Electrical Conductivity</w:t>
      </w:r>
    </w:p>
    <w:p w:rsidR="00E85C61" w:rsidRPr="00E85C61" w:rsidRDefault="00E85C61" w:rsidP="00E85C61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E85C61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A Measurement Setup for Varied Sample Geometries</w:t>
      </w:r>
    </w:p>
    <w:p w:rsidR="00E85C61" w:rsidRPr="00E85C61" w:rsidRDefault="00E85C61" w:rsidP="00E85C61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85C61">
        <w:rPr>
          <w:rFonts w:ascii="Arial" w:hAnsi="Arial" w:cs="Arial"/>
          <w:color w:val="3F3F3F"/>
          <w:sz w:val="27"/>
          <w:szCs w:val="27"/>
          <w:lang w:val="en-US"/>
        </w:rPr>
        <w:t>The SBA 458 </w:t>
      </w:r>
      <w:r w:rsidRPr="00E85C61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Nemesis</w:t>
      </w:r>
      <w:r w:rsidRPr="00E85C61">
        <w:rPr>
          <w:rFonts w:ascii="Arial" w:hAnsi="Arial" w:cs="Arial"/>
          <w:i/>
          <w:iCs/>
          <w:color w:val="3F3F3F"/>
          <w:sz w:val="20"/>
          <w:szCs w:val="20"/>
          <w:vertAlign w:val="superscript"/>
          <w:lang w:val="en-US"/>
        </w:rPr>
        <w:t>®</w:t>
      </w:r>
      <w:r w:rsidRPr="00E85C61">
        <w:rPr>
          <w:rFonts w:ascii="Arial" w:hAnsi="Arial" w:cs="Arial"/>
          <w:color w:val="3F3F3F"/>
          <w:sz w:val="27"/>
          <w:szCs w:val="27"/>
          <w:lang w:val="en-US"/>
        </w:rPr>
        <w:t> 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is heralded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for its unique measurement setup, which </w:t>
      </w:r>
      <w:proofErr w:type="spell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accomodates</w:t>
      </w:r>
      <w:proofErr w:type="spell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more sample geometries than usually for this technique. Measurements 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can be carried out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at temperatures up to 1100°C.</w:t>
      </w:r>
    </w:p>
    <w:p w:rsidR="00E85C61" w:rsidRPr="00E85C61" w:rsidRDefault="00E85C61" w:rsidP="00E85C61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E85C61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Quick Start to Measurements – Convenient Sample Change</w:t>
      </w:r>
    </w:p>
    <w:p w:rsidR="00E85C61" w:rsidRPr="00E85C61" w:rsidRDefault="00E85C61" w:rsidP="00E85C61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Changing samples 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is accomplished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quickly and easily by hand, without any tools. By using sheathed 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thermocouples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sticking of the sample to the electrodes is avoided.</w:t>
      </w:r>
    </w:p>
    <w:p w:rsidR="00E85C61" w:rsidRPr="00E85C61" w:rsidRDefault="00E85C61" w:rsidP="00E85C61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E85C61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Integrated Quality Check – Outstanding Two-Heater System</w:t>
      </w:r>
    </w:p>
    <w:p w:rsidR="00E85C61" w:rsidRPr="00E85C61" w:rsidRDefault="00E85C61" w:rsidP="00E85C61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85C61">
        <w:rPr>
          <w:rFonts w:ascii="Arial" w:hAnsi="Arial" w:cs="Arial"/>
          <w:color w:val="3F3F3F"/>
          <w:sz w:val="27"/>
          <w:szCs w:val="27"/>
          <w:lang w:val="en-US"/>
        </w:rPr>
        <w:t>The SBA 458 </w:t>
      </w:r>
      <w:r w:rsidRPr="00E85C61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Nemesis</w:t>
      </w:r>
      <w:r w:rsidRPr="00E85C61">
        <w:rPr>
          <w:rFonts w:ascii="Arial" w:hAnsi="Arial" w:cs="Arial"/>
          <w:i/>
          <w:iCs/>
          <w:color w:val="3F3F3F"/>
          <w:sz w:val="20"/>
          <w:szCs w:val="20"/>
          <w:vertAlign w:val="superscript"/>
          <w:lang w:val="en-US"/>
        </w:rPr>
        <w:t>®</w:t>
      </w:r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 has two heavy systems that 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are employed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in an alternating manner for each temperature step. Deviations from linearity and hysteresis due to inaccurate measurement 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can be immediately observed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before and during the measurement.</w:t>
      </w:r>
    </w:p>
    <w:p w:rsidR="00E85C61" w:rsidRPr="00E85C61" w:rsidRDefault="00E85C61" w:rsidP="00E85C61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E85C61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Highly Reliable and Rugged Design – Avoiding Diffusion Problems</w:t>
      </w:r>
    </w:p>
    <w:p w:rsidR="00E85C61" w:rsidRPr="00E85C61" w:rsidRDefault="00E85C61" w:rsidP="00E85C61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The thermocouples 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are firmly anchored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 and are immobilized during the measurements by a defined contact force resulting from the mass and the cold spring. Sheathing of the thermocouples prevents diffusion from cementing them to the sample.</w:t>
      </w:r>
    </w:p>
    <w:p w:rsidR="00E85C61" w:rsidRPr="00E85C61" w:rsidRDefault="00E85C61" w:rsidP="00E85C61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E85C61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No Distance Determination Required</w:t>
      </w:r>
    </w:p>
    <w:p w:rsidR="00E85C61" w:rsidRPr="00E85C61" w:rsidRDefault="00E85C61" w:rsidP="00E85C61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85C61">
        <w:rPr>
          <w:rFonts w:ascii="Arial" w:hAnsi="Arial" w:cs="Arial"/>
          <w:color w:val="3F3F3F"/>
          <w:sz w:val="27"/>
          <w:szCs w:val="27"/>
          <w:lang w:val="en-US"/>
        </w:rPr>
        <w:t xml:space="preserve">Since the thermocouple positions are fixed, the cumbersome process of determining their distance before each measurement </w:t>
      </w:r>
      <w:proofErr w:type="gramStart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is eliminated</w:t>
      </w:r>
      <w:proofErr w:type="gramEnd"/>
      <w:r w:rsidRPr="00E85C61">
        <w:rPr>
          <w:rFonts w:ascii="Arial" w:hAnsi="Arial" w:cs="Arial"/>
          <w:color w:val="3F3F3F"/>
          <w:sz w:val="27"/>
          <w:szCs w:val="27"/>
          <w:lang w:val="en-US"/>
        </w:rPr>
        <w:t>. Eliminating this potential source of error in determining electrical conductivity increases the precision and reproducibility of the results.</w:t>
      </w:r>
    </w:p>
    <w:p w:rsidR="005F35FE" w:rsidRPr="00E85C61" w:rsidRDefault="005F35FE" w:rsidP="00E85C61">
      <w:pPr>
        <w:rPr>
          <w:lang w:val="en-US"/>
        </w:rPr>
      </w:pPr>
    </w:p>
    <w:sectPr w:rsidR="005F35FE" w:rsidRPr="00E85C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6"/>
  </w:num>
  <w:num w:numId="15">
    <w:abstractNumId w:val="2"/>
  </w:num>
  <w:num w:numId="16">
    <w:abstractNumId w:val="13"/>
  </w:num>
  <w:num w:numId="17">
    <w:abstractNumId w:val="1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00CA4"/>
    <w:rsid w:val="00313795"/>
    <w:rsid w:val="003270F8"/>
    <w:rsid w:val="003329D8"/>
    <w:rsid w:val="003601E5"/>
    <w:rsid w:val="0037721B"/>
    <w:rsid w:val="003A0B3D"/>
    <w:rsid w:val="003C7063"/>
    <w:rsid w:val="0041207D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9676E3"/>
    <w:rsid w:val="00991760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85C61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2021-01-13T12:45:00Z</dcterms:created>
  <dcterms:modified xsi:type="dcterms:W3CDTF">2021-01-13T12:45:00Z</dcterms:modified>
</cp:coreProperties>
</file>