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92" w:rsidRPr="00A86A92" w:rsidRDefault="00A86A92" w:rsidP="00A86A92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bookmarkStart w:id="0" w:name="_GoBack"/>
      <w:r w:rsidRPr="00A86A92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STA 449 </w:t>
      </w:r>
      <w:r w:rsidRPr="00A86A92">
        <w:rPr>
          <w:rStyle w:val="Fett"/>
          <w:rFonts w:ascii="Arial" w:hAnsi="Arial" w:cs="Arial"/>
          <w:b/>
          <w:bCs/>
          <w:i/>
          <w:iCs/>
          <w:color w:val="007167"/>
          <w:sz w:val="72"/>
          <w:szCs w:val="72"/>
          <w:lang w:val="en-US"/>
        </w:rPr>
        <w:t>F3</w:t>
      </w:r>
      <w:r w:rsidRPr="00A86A92">
        <w:rPr>
          <w:rFonts w:ascii="Arial" w:hAnsi="Arial" w:cs="Arial"/>
          <w:b w:val="0"/>
          <w:bCs w:val="0"/>
          <w:i/>
          <w:iCs/>
          <w:color w:val="007167"/>
          <w:sz w:val="72"/>
          <w:szCs w:val="72"/>
          <w:lang w:val="en-US"/>
        </w:rPr>
        <w:t> Jupiter</w:t>
      </w:r>
      <w:r w:rsidRPr="00A86A92">
        <w:rPr>
          <w:rFonts w:ascii="Arial" w:hAnsi="Arial" w:cs="Arial"/>
          <w:b w:val="0"/>
          <w:bCs w:val="0"/>
          <w:color w:val="007167"/>
          <w:sz w:val="47"/>
          <w:szCs w:val="47"/>
          <w:vertAlign w:val="superscript"/>
          <w:lang w:val="en-US"/>
        </w:rPr>
        <w:t>®</w:t>
      </w:r>
    </w:p>
    <w:bookmarkEnd w:id="0"/>
    <w:p w:rsidR="00A86A92" w:rsidRPr="00A86A92" w:rsidRDefault="00A86A92" w:rsidP="00A86A92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A86A92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Fascinating Flexibility in Thermal Analysis</w:t>
      </w:r>
    </w:p>
    <w:p w:rsidR="00A86A92" w:rsidRPr="00A86A92" w:rsidRDefault="00A86A92" w:rsidP="00A86A92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A86A92">
        <w:rPr>
          <w:rFonts w:ascii="Arial" w:hAnsi="Arial" w:cs="Arial"/>
          <w:color w:val="3F3F3F"/>
          <w:sz w:val="27"/>
          <w:szCs w:val="27"/>
          <w:lang w:val="en-US"/>
        </w:rPr>
        <w:t>The simultaneous thermal analyzer NETZSCH STA 449 </w:t>
      </w:r>
      <w:r w:rsidRPr="00A86A92">
        <w:rPr>
          <w:rStyle w:val="Fett"/>
          <w:rFonts w:ascii="Arial" w:hAnsi="Arial" w:cs="Arial"/>
          <w:i/>
          <w:iCs/>
          <w:color w:val="3F3F3F"/>
          <w:sz w:val="27"/>
          <w:szCs w:val="27"/>
          <w:lang w:val="en-US"/>
        </w:rPr>
        <w:t>F3</w:t>
      </w:r>
      <w:r w:rsidRPr="00A86A92">
        <w:rPr>
          <w:rStyle w:val="Hervorhebung"/>
          <w:rFonts w:ascii="Arial" w:hAnsi="Arial" w:cs="Arial"/>
          <w:color w:val="3F3F3F"/>
          <w:sz w:val="27"/>
          <w:szCs w:val="27"/>
          <w:lang w:val="en-US"/>
        </w:rPr>
        <w:t> Jupiter</w:t>
      </w:r>
      <w:r w:rsidRPr="00A86A92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A86A92">
        <w:rPr>
          <w:rFonts w:ascii="Arial" w:hAnsi="Arial" w:cs="Arial"/>
          <w:color w:val="3F3F3F"/>
          <w:sz w:val="27"/>
          <w:szCs w:val="27"/>
          <w:lang w:val="en-US"/>
        </w:rPr>
        <w:t> allows the measurement of mass changes and thermal effects between -150°C and 2400°C.</w:t>
      </w:r>
    </w:p>
    <w:p w:rsidR="00A86A92" w:rsidRPr="00A86A92" w:rsidRDefault="00A86A92" w:rsidP="00A86A92">
      <w:pPr>
        <w:pStyle w:val="bodytext"/>
        <w:shd w:val="clear" w:color="auto" w:fill="FFFFFF"/>
        <w:spacing w:before="0" w:beforeAutospacing="0" w:after="225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A86A92">
        <w:rPr>
          <w:rFonts w:ascii="Arial" w:hAnsi="Arial" w:cs="Arial"/>
          <w:color w:val="3F3F3F"/>
          <w:sz w:val="27"/>
          <w:szCs w:val="27"/>
          <w:lang w:val="en-US"/>
        </w:rPr>
        <w:t>The high flexibility caused by the various sensors, the great variety of sample crucibles and the wide TGA-measuring range make the system applicable for analysis of all kinds of materials including also inhomogenous substances.</w:t>
      </w:r>
    </w:p>
    <w:p w:rsidR="00A86A92" w:rsidRPr="00A86A92" w:rsidRDefault="00A86A92" w:rsidP="00A86A92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A86A92">
        <w:rPr>
          <w:rFonts w:ascii="Arial" w:hAnsi="Arial" w:cs="Arial"/>
          <w:color w:val="3F3F3F"/>
          <w:sz w:val="27"/>
          <w:szCs w:val="27"/>
          <w:lang w:val="en-US"/>
        </w:rPr>
        <w:t>Easily interchangeable sample holders allow the optimal system adaption to the diverse application areas (TGA, TGA-DTA and TGA-DSC measurements).</w:t>
      </w:r>
    </w:p>
    <w:p w:rsidR="00A86A92" w:rsidRPr="00A86A92" w:rsidRDefault="00A86A92" w:rsidP="00A86A92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A86A92">
        <w:rPr>
          <w:rFonts w:ascii="Arial" w:hAnsi="Arial" w:cs="Arial"/>
          <w:color w:val="3F3F3F"/>
          <w:sz w:val="27"/>
          <w:szCs w:val="27"/>
          <w:lang w:val="en-US"/>
        </w:rPr>
        <w:t>Various furnaces, easy interchangeable by the user, cover the complete temperature range (please see accessories).</w:t>
      </w:r>
      <w:r w:rsidRPr="00A86A92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A86A92">
        <w:rPr>
          <w:rFonts w:ascii="Arial" w:hAnsi="Arial" w:cs="Arial"/>
          <w:color w:val="3F3F3F"/>
          <w:sz w:val="27"/>
          <w:szCs w:val="27"/>
          <w:lang w:val="en-US"/>
        </w:rPr>
        <w:br/>
        <w:t xml:space="preserve">Through to the vacuum tight design measurements at defined atmospheres (e.g. inert) are possible. </w:t>
      </w:r>
      <w:proofErr w:type="gramStart"/>
      <w:r w:rsidRPr="00A86A92">
        <w:rPr>
          <w:rFonts w:ascii="Arial" w:hAnsi="Arial" w:cs="Arial"/>
          <w:color w:val="3F3F3F"/>
          <w:sz w:val="27"/>
          <w:szCs w:val="27"/>
          <w:lang w:val="en-US"/>
        </w:rPr>
        <w:t>The system is controlled by a newly developed integrated digital electronic device</w:t>
      </w:r>
      <w:proofErr w:type="gramEnd"/>
      <w:r w:rsidRPr="00A86A92">
        <w:rPr>
          <w:rFonts w:ascii="Arial" w:hAnsi="Arial" w:cs="Arial"/>
          <w:color w:val="3F3F3F"/>
          <w:sz w:val="27"/>
          <w:szCs w:val="27"/>
          <w:lang w:val="en-US"/>
        </w:rPr>
        <w:t>.</w:t>
      </w:r>
      <w:r w:rsidRPr="00A86A92">
        <w:rPr>
          <w:rFonts w:ascii="Arial" w:hAnsi="Arial" w:cs="Arial"/>
          <w:color w:val="3F3F3F"/>
          <w:sz w:val="27"/>
          <w:szCs w:val="27"/>
          <w:lang w:val="en-US"/>
        </w:rPr>
        <w:br/>
      </w:r>
      <w:r w:rsidRPr="00A86A92">
        <w:rPr>
          <w:rFonts w:ascii="Arial" w:hAnsi="Arial" w:cs="Arial"/>
          <w:color w:val="3F3F3F"/>
          <w:sz w:val="27"/>
          <w:szCs w:val="27"/>
          <w:lang w:val="en-US"/>
        </w:rPr>
        <w:br/>
        <w:t>The analysis of measuring data runs under a standard PC and the well-proven Windows</w:t>
      </w:r>
      <w:r w:rsidRPr="00A86A92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A86A92">
        <w:rPr>
          <w:rFonts w:ascii="Arial" w:hAnsi="Arial" w:cs="Arial"/>
          <w:color w:val="3F3F3F"/>
          <w:sz w:val="27"/>
          <w:szCs w:val="27"/>
          <w:lang w:val="en-US"/>
        </w:rPr>
        <w:t> software.</w:t>
      </w:r>
    </w:p>
    <w:p w:rsidR="005F35FE" w:rsidRPr="00050C11" w:rsidRDefault="005F35FE" w:rsidP="00A86A92">
      <w:pPr>
        <w:rPr>
          <w:lang w:val="en-US"/>
        </w:rPr>
      </w:pPr>
    </w:p>
    <w:sectPr w:rsidR="005F35FE" w:rsidRPr="00050C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20744C"/>
    <w:rsid w:val="003270F8"/>
    <w:rsid w:val="0037721B"/>
    <w:rsid w:val="003A0B3D"/>
    <w:rsid w:val="003C7063"/>
    <w:rsid w:val="00484D92"/>
    <w:rsid w:val="005B28C4"/>
    <w:rsid w:val="005E4C48"/>
    <w:rsid w:val="005F35FE"/>
    <w:rsid w:val="00607355"/>
    <w:rsid w:val="00644D7C"/>
    <w:rsid w:val="00A412F5"/>
    <w:rsid w:val="00A86A92"/>
    <w:rsid w:val="00C25EF8"/>
    <w:rsid w:val="00D00FEE"/>
    <w:rsid w:val="00F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867A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2021-01-13T12:20:00Z</dcterms:created>
  <dcterms:modified xsi:type="dcterms:W3CDTF">2021-01-13T12:20:00Z</dcterms:modified>
</cp:coreProperties>
</file>